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1B" w:rsidRPr="002E374E" w:rsidRDefault="00FA2338" w:rsidP="00FA2338">
      <w:pPr>
        <w:pStyle w:val="a3"/>
        <w:tabs>
          <w:tab w:val="left" w:pos="0"/>
        </w:tabs>
        <w:suppressAutoHyphens/>
        <w:jc w:val="center"/>
      </w:pPr>
      <w:r>
        <w:t xml:space="preserve">Уважаемые </w:t>
      </w:r>
      <w:r w:rsidR="00EA3B1B" w:rsidRPr="002E374E">
        <w:t>акционеры!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Открытое акционерное общество «</w:t>
      </w:r>
      <w:proofErr w:type="spellStart"/>
      <w:r w:rsidRPr="002E374E">
        <w:t>Пинские</w:t>
      </w:r>
      <w:proofErr w:type="spellEnd"/>
      <w:r w:rsidRPr="002E374E">
        <w:t xml:space="preserve"> нетканые материалы» (</w:t>
      </w:r>
      <w:proofErr w:type="gramStart"/>
      <w:r w:rsidRPr="002E374E">
        <w:t>далее  –</w:t>
      </w:r>
      <w:proofErr w:type="gramEnd"/>
      <w:r w:rsidRPr="002E374E">
        <w:t xml:space="preserve"> Общество), расположенное по адресу: Брестская обл., г. Пинск, ул. </w:t>
      </w:r>
      <w:proofErr w:type="spellStart"/>
      <w:r w:rsidRPr="002E374E">
        <w:t>Козубовского</w:t>
      </w:r>
      <w:proofErr w:type="spellEnd"/>
      <w:r w:rsidRPr="002E374E">
        <w:t>, д. 19, доводит до Вашего сведения решения</w:t>
      </w:r>
      <w:r w:rsidRPr="002E374E">
        <w:rPr>
          <w:bCs/>
        </w:rPr>
        <w:t>, принятые «30» марта 2022 г.</w:t>
      </w:r>
      <w:r w:rsidRPr="002E374E">
        <w:t xml:space="preserve"> годовым общим собранием акционеров Общества: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9112"/>
      </w:tblGrid>
      <w:tr w:rsidR="00EA3B1B" w:rsidRPr="002E374E" w:rsidTr="00EA3B1B">
        <w:trPr>
          <w:trHeight w:val="617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>Отчет дирекции об итогах финансово-хозяйственной деятельности Общества в 2021 году и основных направлениях деятельности на 2022 год.</w:t>
            </w:r>
          </w:p>
        </w:tc>
      </w:tr>
      <w:tr w:rsidR="00EA3B1B" w:rsidRPr="002E374E" w:rsidTr="00EA3B1B">
        <w:trPr>
          <w:trHeight w:val="200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Наблюдательного совета Общества за 2021 год.</w:t>
            </w:r>
          </w:p>
        </w:tc>
      </w:tr>
      <w:tr w:rsidR="00EA3B1B" w:rsidRPr="002E374E" w:rsidTr="00EA3B1B">
        <w:trPr>
          <w:trHeight w:val="205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ревизионной комиссии Общества за 2021 год.</w:t>
            </w:r>
          </w:p>
        </w:tc>
      </w:tr>
      <w:tr w:rsidR="00EA3B1B" w:rsidRPr="002E374E" w:rsidTr="00EA3B1B"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Утверждение годовой бухгалтерской отчетности Общества за 2021 год.</w:t>
            </w:r>
          </w:p>
        </w:tc>
      </w:tr>
      <w:tr w:rsidR="00EA3B1B" w:rsidRPr="002E374E" w:rsidTr="00EA3B1B">
        <w:trPr>
          <w:trHeight w:val="387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выплате дивидендов Общества за 2021 год.</w:t>
            </w:r>
          </w:p>
        </w:tc>
      </w:tr>
      <w:tr w:rsidR="00EA3B1B" w:rsidRPr="002E374E" w:rsidTr="00EA3B1B"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порядке распределения и использования чистой прибыли на 2022 год и 1-й квартал 2023 года.</w:t>
            </w:r>
          </w:p>
        </w:tc>
      </w:tr>
      <w:tr w:rsidR="00EA3B1B" w:rsidRPr="002E374E" w:rsidTr="00EA3B1B"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Избрание членов Наблюдательного совета и ревизионной комиссии Общества.</w:t>
            </w:r>
          </w:p>
        </w:tc>
      </w:tr>
      <w:tr w:rsidR="00EA3B1B" w:rsidRPr="002E374E" w:rsidTr="00EA3B1B">
        <w:trPr>
          <w:trHeight w:val="606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Установление размера вознаграждения членам Наблюдательного совета и ревизионной комиссии Общества.</w:t>
            </w:r>
          </w:p>
        </w:tc>
      </w:tr>
      <w:tr w:rsidR="00EA3B1B" w:rsidRPr="002E374E" w:rsidTr="00EA3B1B">
        <w:trPr>
          <w:trHeight w:val="334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Утверждение Устава ОАО «ПИНЕМА» в новой редакции.</w:t>
            </w:r>
          </w:p>
        </w:tc>
      </w:tr>
      <w:tr w:rsidR="00EA3B1B" w:rsidRPr="002E374E" w:rsidTr="00EA3B1B">
        <w:trPr>
          <w:trHeight w:val="211"/>
        </w:trPr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Утверждение Положения о Наблюдательном совете ОАО «ПИНЕМА».</w:t>
            </w:r>
          </w:p>
        </w:tc>
      </w:tr>
      <w:tr w:rsidR="00EA3B1B" w:rsidRPr="002E374E" w:rsidTr="00EA3B1B">
        <w:tc>
          <w:tcPr>
            <w:tcW w:w="25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4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внесении изменений и дополнений в Положение о порядке ведения учета аффилированных лиц, Регламент работы ОАО «ПИНЕМА» с реестром владельцев ценных бумаг»</w:t>
            </w:r>
          </w:p>
        </w:tc>
      </w:tr>
    </w:tbl>
    <w:p w:rsid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B1B" w:rsidRPr="00EA3B1B" w:rsidRDefault="00EA3B1B" w:rsidP="00EA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Решения собрания.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первому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1.1. Принять к сведению и утвердить отчет директора об итогах финансово-хозяйственной деятельности Общества за 2021 год, а также основные направления деятельности Общества в 2022 году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второму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2.1. Утвердить отчет о работе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 xml:space="preserve">. Работу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признать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3.1. Утвердить заключение ревизионной комиссии по результатам ежегодной проверки финансово-хозяйственной деятельности Общества за 2021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3.2. Принять к сведению аудиторское заключение по результатам проведенного ежегодного аудита Общества за 2021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3.3. Работу ревизионной комиссии считать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четвертому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4.1. Утвердить с учетом заключения ревизионной комиссии и результатов аудиторской проверки годовую бухгалтерскую (финансовую) отчетность Общества за 2021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4.2. В связи с отсутствием чистой прибыли порядок распределения прибыли оставить без утверждения.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93B" w:rsidRDefault="0042393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пятому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5.1. В связи с убыточностью предприятии дивиденды не выплачивать, в том числе по привилегированным акциям.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шестому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6.1. Установить начисление дивидендов на акции за 2022 год в размере 20% от прибыли за 2022 год, согласно нормативам, утвержденным Указом Президента Республики Беларусь от 28.12.2005 № 637, постановлением Министерства финансов Республики Беларусь от 05.02.2013 № 7, постановлению Министерства финансов Республики Беларусь от 05.02.2013 № 8.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6.2. Утвердить следующий порядок распределения чистой прибыли на 2022 год: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фонд накопления -</w:t>
      </w:r>
      <w:r w:rsidRPr="00EA3B1B">
        <w:rPr>
          <w:rFonts w:ascii="Times New Roman" w:hAnsi="Times New Roman" w:cs="Times New Roman"/>
          <w:sz w:val="24"/>
          <w:szCs w:val="24"/>
        </w:rPr>
        <w:tab/>
        <w:t>план – 65 %;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фонд потребления – план – 15%;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дивиденды - план -  20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% .</w:t>
      </w:r>
      <w:proofErr w:type="gramEnd"/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Установить периодичность выплаты дивидендов за 2022 год и I квартал 2023 года 1 раз в год - по результатам года на основании данных годовой бухгалтерской (финансовой) отчетности. Выплату окончательного дивиденда по итогам года производить после утверждения </w:t>
      </w:r>
      <w:r w:rsidR="0042393B">
        <w:rPr>
          <w:rFonts w:ascii="Times New Roman" w:hAnsi="Times New Roman" w:cs="Times New Roman"/>
          <w:sz w:val="24"/>
          <w:szCs w:val="24"/>
        </w:rPr>
        <w:t>годовым</w:t>
      </w:r>
      <w:bookmarkStart w:id="0" w:name="_GoBack"/>
      <w:bookmarkEnd w:id="0"/>
      <w:r w:rsidRPr="00EA3B1B">
        <w:rPr>
          <w:rFonts w:ascii="Times New Roman" w:hAnsi="Times New Roman" w:cs="Times New Roman"/>
          <w:sz w:val="24"/>
          <w:szCs w:val="24"/>
        </w:rPr>
        <w:t xml:space="preserve"> общим собранием акционеров.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338" w:rsidRPr="0042393B" w:rsidRDefault="00EA3B1B" w:rsidP="00423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седьмому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7.2 Сформировать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</w:t>
      </w:r>
      <w:r w:rsidR="0042393B">
        <w:rPr>
          <w:rFonts w:ascii="Times New Roman" w:hAnsi="Times New Roman" w:cs="Times New Roman"/>
          <w:sz w:val="24"/>
          <w:szCs w:val="24"/>
        </w:rPr>
        <w:t>льный совет в составе 4 человек.</w:t>
      </w:r>
    </w:p>
    <w:p w:rsidR="00EA3B1B" w:rsidRPr="00EA3B1B" w:rsidRDefault="00EA3B1B" w:rsidP="00EA3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7.3. Утвердить количественный 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состав  ревизионной</w:t>
      </w:r>
      <w:proofErr w:type="gramEnd"/>
      <w:r w:rsidRPr="00EA3B1B">
        <w:rPr>
          <w:rFonts w:ascii="Times New Roman" w:hAnsi="Times New Roman" w:cs="Times New Roman"/>
          <w:sz w:val="24"/>
          <w:szCs w:val="24"/>
        </w:rPr>
        <w:t xml:space="preserve"> комиссии 3 (три) человека.</w:t>
      </w:r>
    </w:p>
    <w:p w:rsidR="00FA2338" w:rsidRPr="00FA2338" w:rsidRDefault="00FA2338" w:rsidP="00FA2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2338">
        <w:rPr>
          <w:rFonts w:ascii="Times New Roman" w:eastAsia="Times New Roman" w:hAnsi="Times New Roman" w:cs="Times New Roman"/>
          <w:lang w:eastAsia="ru-RU"/>
        </w:rPr>
        <w:t>Решение принято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FA2338">
        <w:rPr>
          <w:rFonts w:ascii="Times New Roman" w:hAnsi="Times New Roman" w:cs="Times New Roman"/>
          <w:b/>
          <w:sz w:val="24"/>
          <w:szCs w:val="24"/>
        </w:rPr>
        <w:t>восьмому  вопросу</w:t>
      </w:r>
      <w:proofErr w:type="gramEnd"/>
      <w:r w:rsidRPr="00FA2338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8.1. Установить размер вознаграждений для членов и секретаря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совета, ревизионной комиссии Общества за исполнение ими обязанностей по представлению председателей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и ревизионной комиссии в следующих размерах: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за каждый проведенный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аблюдательный совет, собрание акционеров: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председателю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– 2 базовых величин ежеквартально;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секретарю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- 3 базовые величины ежеквартально;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членам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– по 2 базовые величины ежеквартально;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членам ревизионной комиссии – по 1 базовой величине за каждую проведенную ревизию;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представителю государства – 2 базовых величин ежеквартально (выплата вознаграждения представителю государства производится с учетом требований в отношении порядка исчисления размера вознаграждения, выплачиваемого представителям государства в органах управления хозяйственных обществ, регламентированных Указом Президента Республики Беларусь от 19.02.2008 г. № 100 «О некоторых вопросах владельческого надзора»).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Вознаграждения выплачиваются членам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 по представлениям председателя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 при условии непосредственного участия членов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в заседаниях, собраниях</w:t>
      </w:r>
      <w:r w:rsidR="00E90FF1">
        <w:rPr>
          <w:rFonts w:ascii="Times New Roman" w:hAnsi="Times New Roman" w:cs="Times New Roman"/>
          <w:sz w:val="24"/>
          <w:szCs w:val="24"/>
        </w:rPr>
        <w:t>,</w:t>
      </w:r>
      <w:r w:rsidRPr="00EA3B1B">
        <w:rPr>
          <w:rFonts w:ascii="Times New Roman" w:hAnsi="Times New Roman" w:cs="Times New Roman"/>
          <w:sz w:val="24"/>
          <w:szCs w:val="24"/>
        </w:rPr>
        <w:t xml:space="preserve"> и членам ревизионной комиссии по представлениям ревизионной комиссии при непосредственном участии ревизора в проверках.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>По девятому вопросу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9.1. Утвердить Устав ОАО «ПИНЕМА» в новой редакции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9.2. Директору ОАО «ПИНЕМА» Войтовичу В.Т. 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подписать  Устав</w:t>
      </w:r>
      <w:proofErr w:type="gramEnd"/>
      <w:r w:rsidRPr="00EA3B1B">
        <w:rPr>
          <w:rFonts w:ascii="Times New Roman" w:hAnsi="Times New Roman" w:cs="Times New Roman"/>
          <w:sz w:val="24"/>
          <w:szCs w:val="24"/>
        </w:rPr>
        <w:t xml:space="preserve"> в новой редакции и в установленном законодательством порядке обеспечить государственную регистрацию.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42393B" w:rsidRDefault="0042393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lastRenderedPageBreak/>
        <w:t>По десятому вопросу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10.1. Утвердить локальный правовой акт общества - Положение о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аблюдательном совете открытого акционерного общества «</w:t>
      </w:r>
      <w:proofErr w:type="spellStart"/>
      <w:r w:rsidRPr="00EA3B1B">
        <w:rPr>
          <w:rFonts w:ascii="Times New Roman" w:hAnsi="Times New Roman" w:cs="Times New Roman"/>
          <w:sz w:val="24"/>
          <w:szCs w:val="24"/>
        </w:rPr>
        <w:t>Пинские</w:t>
      </w:r>
      <w:proofErr w:type="spellEnd"/>
      <w:r w:rsidRPr="00EA3B1B">
        <w:rPr>
          <w:rFonts w:ascii="Times New Roman" w:hAnsi="Times New Roman" w:cs="Times New Roman"/>
          <w:sz w:val="24"/>
          <w:szCs w:val="24"/>
        </w:rPr>
        <w:t xml:space="preserve"> нетканые материалы»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(прилагается). 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>По одиннадцатому вопросу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11.1. Утвердить изменения и дополнения в локальные правовые акты общества - Положение о порядке ведения учета аффилированных лиц; Регламент работы </w:t>
      </w:r>
      <w:r w:rsidR="00E90FF1">
        <w:rPr>
          <w:rFonts w:ascii="Times New Roman" w:hAnsi="Times New Roman" w:cs="Times New Roman"/>
          <w:sz w:val="24"/>
          <w:szCs w:val="24"/>
        </w:rPr>
        <w:br/>
      </w:r>
      <w:r w:rsidRPr="00EA3B1B">
        <w:rPr>
          <w:rFonts w:ascii="Times New Roman" w:hAnsi="Times New Roman" w:cs="Times New Roman"/>
          <w:sz w:val="24"/>
          <w:szCs w:val="24"/>
        </w:rPr>
        <w:t>ОАО «ПИНЕМА» с реестром владельцев ценных бумаг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A32943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FA2338" w:rsidRDefault="00FA2338" w:rsidP="00E90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338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338" w:rsidRPr="002E374E" w:rsidRDefault="00FA2338" w:rsidP="00FA2338">
      <w:pPr>
        <w:tabs>
          <w:tab w:val="left" w:pos="1134"/>
        </w:tabs>
        <w:ind w:left="1429"/>
        <w:jc w:val="right"/>
        <w:rPr>
          <w:rFonts w:ascii="Times New Roman" w:hAnsi="Times New Roman" w:cs="Times New Roman"/>
          <w:sz w:val="24"/>
          <w:szCs w:val="24"/>
        </w:rPr>
      </w:pPr>
      <w:r w:rsidRPr="002E374E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FA2338" w:rsidRPr="00EA3B1B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2338" w:rsidRPr="00EA3B1B" w:rsidSect="0042393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3B" w:rsidRDefault="0042393B" w:rsidP="0042393B">
      <w:pPr>
        <w:spacing w:after="0" w:line="240" w:lineRule="auto"/>
      </w:pPr>
      <w:r>
        <w:separator/>
      </w:r>
    </w:p>
  </w:endnote>
  <w:end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3B" w:rsidRDefault="0042393B" w:rsidP="0042393B">
      <w:pPr>
        <w:spacing w:after="0" w:line="240" w:lineRule="auto"/>
      </w:pPr>
      <w:r>
        <w:separator/>
      </w:r>
    </w:p>
  </w:footnote>
  <w:foot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064582"/>
      <w:docPartObj>
        <w:docPartGallery w:val="Page Numbers (Top of Page)"/>
        <w:docPartUnique/>
      </w:docPartObj>
    </w:sdtPr>
    <w:sdtContent>
      <w:p w:rsidR="0042393B" w:rsidRDefault="00423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393B" w:rsidRDefault="004239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B"/>
    <w:rsid w:val="0042393B"/>
    <w:rsid w:val="00A32943"/>
    <w:rsid w:val="00E90FF1"/>
    <w:rsid w:val="00EA3B1B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17D3"/>
  <w15:chartTrackingRefBased/>
  <w15:docId w15:val="{FF72BB7F-6D2C-4794-9727-CDDECD63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3B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3B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3B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93B"/>
  </w:style>
  <w:style w:type="paragraph" w:styleId="a7">
    <w:name w:val="footer"/>
    <w:basedOn w:val="a"/>
    <w:link w:val="a8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2022-04-05T13:15:00Z</dcterms:created>
  <dcterms:modified xsi:type="dcterms:W3CDTF">2022-04-06T07:14:00Z</dcterms:modified>
</cp:coreProperties>
</file>